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7234" w14:textId="77777777" w:rsidR="00B930E3" w:rsidRPr="00C337FD" w:rsidRDefault="00B930E3">
      <w:pPr>
        <w:rPr>
          <w:sz w:val="2"/>
          <w:szCs w:val="2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C9767D" w14:paraId="2675D0B1" w14:textId="77777777" w:rsidTr="00B930E3">
        <w:trPr>
          <w:trHeight w:val="851"/>
        </w:trPr>
        <w:tc>
          <w:tcPr>
            <w:tcW w:w="3207" w:type="dxa"/>
          </w:tcPr>
          <w:p w14:paraId="4B80F3C2" w14:textId="77777777" w:rsidR="00410EC0" w:rsidRDefault="00410EC0" w:rsidP="000F60CD"/>
        </w:tc>
        <w:tc>
          <w:tcPr>
            <w:tcW w:w="3227" w:type="dxa"/>
            <w:vMerge w:val="restart"/>
          </w:tcPr>
          <w:p w14:paraId="2D14332B" w14:textId="77777777" w:rsidR="00410EC0" w:rsidRDefault="00E33D11" w:rsidP="000F60CD">
            <w:pPr>
              <w:jc w:val="center"/>
            </w:pPr>
            <w:r>
              <w:object w:dxaOrig="690" w:dyaOrig="960" w14:anchorId="0133C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8pt" o:ole="">
                  <v:imagedata r:id="rId12" o:title=""/>
                </v:shape>
                <o:OLEObject Type="Embed" ProgID="CorelDraw.Graphic.16" ShapeID="_x0000_i1025" DrawAspect="Content" ObjectID="_1789979279" r:id="rId13"/>
              </w:object>
            </w:r>
          </w:p>
        </w:tc>
        <w:tc>
          <w:tcPr>
            <w:tcW w:w="3204" w:type="dxa"/>
          </w:tcPr>
          <w:p w14:paraId="7AFBBC5A" w14:textId="718DA893" w:rsidR="00410EC0" w:rsidRPr="00AB3712" w:rsidRDefault="00AB3712" w:rsidP="00AB3712">
            <w:pPr>
              <w:jc w:val="right"/>
            </w:pPr>
            <w:r>
              <w:t xml:space="preserve">               ПРОЄКТ</w:t>
            </w:r>
          </w:p>
        </w:tc>
      </w:tr>
      <w:tr w:rsidR="00C9767D" w14:paraId="3EB5AB0D" w14:textId="77777777" w:rsidTr="00B930E3">
        <w:tc>
          <w:tcPr>
            <w:tcW w:w="3207" w:type="dxa"/>
          </w:tcPr>
          <w:p w14:paraId="10D3E3DB" w14:textId="77777777" w:rsidR="00410EC0" w:rsidRDefault="00410EC0" w:rsidP="000F60CD"/>
        </w:tc>
        <w:tc>
          <w:tcPr>
            <w:tcW w:w="3227" w:type="dxa"/>
            <w:vMerge/>
          </w:tcPr>
          <w:p w14:paraId="2BD8FBF6" w14:textId="77777777" w:rsidR="00410EC0" w:rsidRDefault="00410EC0" w:rsidP="000F60CD"/>
        </w:tc>
        <w:tc>
          <w:tcPr>
            <w:tcW w:w="3204" w:type="dxa"/>
          </w:tcPr>
          <w:p w14:paraId="3E46D712" w14:textId="77777777" w:rsidR="00410EC0" w:rsidRDefault="00410EC0" w:rsidP="000F60CD"/>
        </w:tc>
      </w:tr>
      <w:tr w:rsidR="00C9767D" w14:paraId="1D0BA26F" w14:textId="77777777" w:rsidTr="00B930E3">
        <w:tc>
          <w:tcPr>
            <w:tcW w:w="9638" w:type="dxa"/>
            <w:gridSpan w:val="3"/>
          </w:tcPr>
          <w:p w14:paraId="5A6FDF92" w14:textId="77777777" w:rsidR="00410EC0" w:rsidRPr="00E10F0A" w:rsidRDefault="00E33D11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0E0D9AE" w14:textId="77777777" w:rsidR="00410EC0" w:rsidRDefault="00E33D11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26334F8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C9767D" w14:paraId="582FCA55" w14:textId="77777777" w:rsidTr="000F60CD">
        <w:tc>
          <w:tcPr>
            <w:tcW w:w="3510" w:type="dxa"/>
            <w:vAlign w:val="bottom"/>
          </w:tcPr>
          <w:p w14:paraId="12F3F439" w14:textId="77777777" w:rsidR="00410EC0" w:rsidRPr="00566BA2" w:rsidRDefault="00410EC0" w:rsidP="000F60CD"/>
        </w:tc>
        <w:tc>
          <w:tcPr>
            <w:tcW w:w="2694" w:type="dxa"/>
          </w:tcPr>
          <w:p w14:paraId="33ECF84A" w14:textId="77777777" w:rsidR="00410EC0" w:rsidRDefault="00E33D11" w:rsidP="000F60CD">
            <w:pPr>
              <w:spacing w:before="240"/>
              <w:jc w:val="center"/>
            </w:pPr>
            <w:r w:rsidRPr="004C0257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4FDF099" w14:textId="77777777" w:rsidR="00410EC0" w:rsidRPr="00101D5A" w:rsidRDefault="00E33D11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3D03DC86" w14:textId="77777777" w:rsidR="00410EC0" w:rsidRDefault="00410EC0" w:rsidP="000F60CD">
            <w:pPr>
              <w:jc w:val="left"/>
            </w:pPr>
          </w:p>
        </w:tc>
      </w:tr>
    </w:tbl>
    <w:p w14:paraId="3C720DEC" w14:textId="77777777" w:rsidR="00410EC0" w:rsidRPr="00CD0CD4" w:rsidRDefault="00410EC0" w:rsidP="00410EC0">
      <w:pPr>
        <w:rPr>
          <w:sz w:val="2"/>
          <w:szCs w:val="2"/>
        </w:rPr>
      </w:pPr>
    </w:p>
    <w:p w14:paraId="7E8CF7EA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  <w:bookmarkStart w:id="0" w:name="_GoBack"/>
      <w:bookmarkEnd w:id="0"/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C9767D" w14:paraId="5B407A58" w14:textId="77777777" w:rsidTr="000F60CD">
        <w:trPr>
          <w:jc w:val="center"/>
        </w:trPr>
        <w:tc>
          <w:tcPr>
            <w:tcW w:w="5000" w:type="pct"/>
          </w:tcPr>
          <w:p w14:paraId="010FBC68" w14:textId="04DFD511" w:rsidR="00A849A6" w:rsidRDefault="0059361D" w:rsidP="00A849A6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Про внесення змін </w:t>
            </w:r>
          </w:p>
          <w:p w14:paraId="53BB8093" w14:textId="2FDB516E" w:rsidR="00410EC0" w:rsidRPr="00CD0CD4" w:rsidRDefault="0059361D" w:rsidP="00A849A6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до постанови </w:t>
            </w:r>
            <w:r w:rsidRPr="0059361D">
              <w:rPr>
                <w:rFonts w:eastAsiaTheme="minorEastAsia"/>
                <w:color w:val="000000" w:themeColor="text1"/>
                <w:lang w:eastAsia="en-US"/>
              </w:rPr>
              <w:t>Правління Національного банку України</w:t>
            </w:r>
            <w:r>
              <w:rPr>
                <w:rFonts w:eastAsiaTheme="minorEastAsia"/>
                <w:color w:val="000000" w:themeColor="text1"/>
                <w:lang w:eastAsia="en-US"/>
              </w:rPr>
              <w:t xml:space="preserve"> від </w:t>
            </w:r>
            <w:r>
              <w:rPr>
                <w:bCs/>
              </w:rPr>
              <w:t>03 серпня 2021 р</w:t>
            </w:r>
            <w:r w:rsidR="00535D44">
              <w:rPr>
                <w:bCs/>
              </w:rPr>
              <w:t xml:space="preserve">оку </w:t>
            </w:r>
            <w:r>
              <w:rPr>
                <w:bCs/>
              </w:rPr>
              <w:t>№ 82</w:t>
            </w:r>
          </w:p>
        </w:tc>
      </w:tr>
    </w:tbl>
    <w:p w14:paraId="53A25956" w14:textId="6901FAC7" w:rsidR="00410EC0" w:rsidRDefault="00233692" w:rsidP="00233692">
      <w:pPr>
        <w:spacing w:before="240" w:after="240"/>
        <w:ind w:firstLine="567"/>
        <w:rPr>
          <w:b/>
        </w:rPr>
      </w:pPr>
      <w:r>
        <w:rPr>
          <w:sz w:val="29"/>
          <w:szCs w:val="29"/>
          <w:lang w:eastAsia="en-US"/>
        </w:rPr>
        <w:t>Відповідно до статей 7, 15, 56 Закону України “Про Національний банк України”, статті 14 Закону України “Про приватизацію державного і комунального майна”</w:t>
      </w:r>
      <w:r w:rsidR="00535D44">
        <w:rPr>
          <w:sz w:val="29"/>
          <w:szCs w:val="29"/>
          <w:lang w:eastAsia="en-US"/>
        </w:rPr>
        <w:t>,</w:t>
      </w:r>
      <w:r>
        <w:rPr>
          <w:sz w:val="29"/>
          <w:szCs w:val="29"/>
          <w:lang w:eastAsia="en-US"/>
        </w:rPr>
        <w:t xml:space="preserve"> з метою</w:t>
      </w:r>
      <w:r w:rsidR="00E33D11" w:rsidRPr="00CD0CD4">
        <w:rPr>
          <w:b/>
        </w:rPr>
        <w:t xml:space="preserve"> </w:t>
      </w:r>
      <w:r w:rsidRPr="00233692">
        <w:t>приведення</w:t>
      </w:r>
      <w:r w:rsidR="004556AE">
        <w:t xml:space="preserve"> нормативно-правового </w:t>
      </w:r>
      <w:proofErr w:type="spellStart"/>
      <w:r w:rsidR="004556AE">
        <w:t>а</w:t>
      </w:r>
      <w:r w:rsidR="0077773E">
        <w:t>кта</w:t>
      </w:r>
      <w:proofErr w:type="spellEnd"/>
      <w:r w:rsidR="0077773E">
        <w:t xml:space="preserve"> Національного банку України </w:t>
      </w:r>
      <w:r w:rsidRPr="00233692">
        <w:t>у відповідність до вимог законодавства</w:t>
      </w:r>
      <w:r w:rsidR="0077773E" w:rsidRPr="00CA0DE4">
        <w:rPr>
          <w:lang w:val="ru-RU"/>
        </w:rPr>
        <w:t xml:space="preserve"> </w:t>
      </w:r>
      <w:proofErr w:type="spellStart"/>
      <w:r w:rsidR="0077773E">
        <w:rPr>
          <w:lang w:val="ru-RU"/>
        </w:rPr>
        <w:t>України</w:t>
      </w:r>
      <w:proofErr w:type="spellEnd"/>
      <w:r>
        <w:rPr>
          <w:b/>
        </w:rPr>
        <w:t xml:space="preserve"> </w:t>
      </w:r>
      <w:r w:rsidR="00E33D11" w:rsidRPr="00CD0CD4">
        <w:t>Правління Національного банку України</w:t>
      </w:r>
      <w:r w:rsidR="00E33D11" w:rsidRPr="00CD0CD4">
        <w:rPr>
          <w:b/>
        </w:rPr>
        <w:t xml:space="preserve"> постановляє:</w:t>
      </w:r>
    </w:p>
    <w:p w14:paraId="0497932C" w14:textId="70F0D905" w:rsidR="0077773E" w:rsidRDefault="00E33D11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="004556AE">
        <w:rPr>
          <w:rFonts w:eastAsiaTheme="minorEastAsia"/>
          <w:noProof/>
          <w:color w:val="000000" w:themeColor="text1"/>
          <w:lang w:val="ru-RU" w:eastAsia="en-US"/>
        </w:rPr>
        <w:t>У</w:t>
      </w:r>
      <w:r w:rsidR="0059361D">
        <w:rPr>
          <w:rFonts w:eastAsiaTheme="minorEastAsia"/>
          <w:noProof/>
          <w:color w:val="000000" w:themeColor="text1"/>
          <w:lang w:eastAsia="en-US"/>
        </w:rPr>
        <w:t xml:space="preserve">нести </w:t>
      </w:r>
      <w:r w:rsidR="00514C09">
        <w:rPr>
          <w:rFonts w:eastAsiaTheme="minorEastAsia"/>
          <w:noProof/>
          <w:color w:val="000000" w:themeColor="text1"/>
          <w:lang w:eastAsia="en-US"/>
        </w:rPr>
        <w:t xml:space="preserve">до </w:t>
      </w:r>
      <w:r w:rsidR="0059361D">
        <w:rPr>
          <w:rFonts w:eastAsiaTheme="minorEastAsia"/>
          <w:noProof/>
          <w:color w:val="000000" w:themeColor="text1"/>
          <w:lang w:eastAsia="en-US"/>
        </w:rPr>
        <w:t xml:space="preserve">постанови </w:t>
      </w:r>
      <w:r w:rsidR="0059361D" w:rsidRPr="0059361D">
        <w:rPr>
          <w:rFonts w:eastAsiaTheme="minorEastAsia"/>
          <w:color w:val="000000" w:themeColor="text1"/>
          <w:lang w:eastAsia="en-US"/>
        </w:rPr>
        <w:t>Правління Національного банку України</w:t>
      </w:r>
      <w:r w:rsidR="0059361D">
        <w:rPr>
          <w:rFonts w:eastAsiaTheme="minorEastAsia"/>
          <w:color w:val="000000" w:themeColor="text1"/>
          <w:lang w:eastAsia="en-US"/>
        </w:rPr>
        <w:t xml:space="preserve"> </w:t>
      </w:r>
      <w:r w:rsidR="004556AE">
        <w:rPr>
          <w:rFonts w:eastAsiaTheme="minorEastAsia"/>
          <w:color w:val="000000" w:themeColor="text1"/>
          <w:lang w:eastAsia="en-US"/>
        </w:rPr>
        <w:t xml:space="preserve">від </w:t>
      </w:r>
      <w:r w:rsidR="004556AE">
        <w:rPr>
          <w:bCs/>
        </w:rPr>
        <w:t xml:space="preserve">03 серпня 2021 року № 82 </w:t>
      </w:r>
      <w:r w:rsidR="0059361D">
        <w:rPr>
          <w:sz w:val="29"/>
          <w:szCs w:val="29"/>
          <w:lang w:eastAsia="en-US"/>
        </w:rPr>
        <w:t xml:space="preserve">“Про </w:t>
      </w:r>
      <w:r w:rsidR="0059361D" w:rsidRPr="0059361D">
        <w:rPr>
          <w:sz w:val="29"/>
          <w:szCs w:val="29"/>
          <w:lang w:eastAsia="en-US"/>
        </w:rPr>
        <w:t>затвердження форми та умов банківської гарантії</w:t>
      </w:r>
      <w:r w:rsidR="0059361D">
        <w:rPr>
          <w:sz w:val="29"/>
          <w:szCs w:val="29"/>
          <w:lang w:eastAsia="en-US"/>
        </w:rPr>
        <w:t>”</w:t>
      </w:r>
      <w:r w:rsidR="0059361D" w:rsidRPr="0059361D">
        <w:rPr>
          <w:rFonts w:eastAsiaTheme="minorEastAsia"/>
          <w:sz w:val="29"/>
          <w:szCs w:val="29"/>
          <w:lang w:eastAsia="en-US"/>
        </w:rPr>
        <w:t xml:space="preserve"> </w:t>
      </w:r>
      <w:r w:rsidR="004556AE">
        <w:rPr>
          <w:rFonts w:eastAsiaTheme="minorEastAsia"/>
          <w:sz w:val="29"/>
          <w:szCs w:val="29"/>
          <w:lang w:eastAsia="en-US"/>
        </w:rPr>
        <w:t xml:space="preserve">такі </w:t>
      </w:r>
      <w:r w:rsidR="0059361D">
        <w:rPr>
          <w:rFonts w:eastAsiaTheme="minorEastAsia"/>
          <w:noProof/>
          <w:color w:val="000000" w:themeColor="text1"/>
          <w:lang w:eastAsia="en-US"/>
        </w:rPr>
        <w:t>зміни</w:t>
      </w:r>
      <w:r w:rsidR="004556AE">
        <w:rPr>
          <w:rFonts w:eastAsiaTheme="minorEastAsia"/>
          <w:noProof/>
          <w:color w:val="000000" w:themeColor="text1"/>
          <w:lang w:eastAsia="en-US"/>
        </w:rPr>
        <w:t xml:space="preserve">: </w:t>
      </w:r>
    </w:p>
    <w:p w14:paraId="67C3BCC3" w14:textId="0C9EEC0D" w:rsidR="00D6582D" w:rsidRDefault="0077773E" w:rsidP="00112C9E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1) у додатку 1:</w:t>
      </w:r>
    </w:p>
    <w:p w14:paraId="2F7AEE0B" w14:textId="299B73F1" w:rsidR="00F95FA0" w:rsidRDefault="00564DFB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додаток після заголовку доповнити словом </w:t>
      </w:r>
      <w:r w:rsidRPr="00CA0DE4">
        <w:rPr>
          <w:rFonts w:eastAsiaTheme="minorEastAsia"/>
          <w:noProof/>
          <w:color w:val="000000" w:themeColor="text1"/>
          <w:lang w:val="ru-RU" w:eastAsia="en-US"/>
        </w:rPr>
        <w:t>“</w:t>
      </w:r>
      <w:r>
        <w:rPr>
          <w:rFonts w:eastAsiaTheme="minorEastAsia"/>
          <w:noProof/>
          <w:color w:val="000000" w:themeColor="text1"/>
          <w:lang w:val="ru-RU" w:eastAsia="en-US"/>
        </w:rPr>
        <w:t>Таблиця</w:t>
      </w:r>
      <w:r w:rsidRPr="00CA0DE4">
        <w:rPr>
          <w:rFonts w:eastAsiaTheme="minorEastAsia"/>
          <w:noProof/>
          <w:color w:val="000000" w:themeColor="text1"/>
          <w:lang w:val="ru-RU" w:eastAsia="en-US"/>
        </w:rPr>
        <w:t>”</w:t>
      </w:r>
      <w:r>
        <w:rPr>
          <w:rFonts w:eastAsiaTheme="minorEastAsia"/>
          <w:noProof/>
          <w:color w:val="000000" w:themeColor="text1"/>
          <w:lang w:val="ru-RU" w:eastAsia="en-US"/>
        </w:rPr>
        <w:t>;</w:t>
      </w:r>
    </w:p>
    <w:p w14:paraId="4BBBAA9C" w14:textId="4EB51B18" w:rsidR="00EE4E1E" w:rsidRPr="000852CD" w:rsidRDefault="00EE4E1E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у таблиц</w:t>
      </w:r>
      <w:r>
        <w:rPr>
          <w:rFonts w:eastAsiaTheme="minorEastAsia"/>
          <w:noProof/>
          <w:color w:val="000000" w:themeColor="text1"/>
          <w:lang w:eastAsia="en-US"/>
        </w:rPr>
        <w:t>і:</w:t>
      </w:r>
    </w:p>
    <w:p w14:paraId="273EFC9C" w14:textId="3E84CB9A" w:rsidR="00DA2377" w:rsidRDefault="00DA2377" w:rsidP="00DA2377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у колонці 2</w:t>
      </w:r>
      <w:r w:rsidR="00EE4E1E">
        <w:rPr>
          <w:rFonts w:eastAsiaTheme="minorEastAsia"/>
          <w:noProof/>
          <w:color w:val="000000" w:themeColor="text1"/>
          <w:lang w:val="ru-RU" w:eastAsia="en-US"/>
        </w:rPr>
        <w:t xml:space="preserve"> рядка 4</w:t>
      </w:r>
      <w:r>
        <w:rPr>
          <w:rFonts w:eastAsiaTheme="minorEastAsia"/>
          <w:noProof/>
          <w:color w:val="000000" w:themeColor="text1"/>
          <w:lang w:val="ru-RU" w:eastAsia="en-US"/>
        </w:rPr>
        <w:t xml:space="preserve"> слово </w:t>
      </w:r>
      <w:r w:rsidRPr="00CA0DE4">
        <w:rPr>
          <w:lang w:val="ru-RU"/>
        </w:rPr>
        <w:t>“</w:t>
      </w:r>
      <w:r>
        <w:rPr>
          <w:lang w:val="ru-RU"/>
        </w:rPr>
        <w:t>Гарант</w:t>
      </w:r>
      <w:r w:rsidRPr="00CA0DE4">
        <w:rPr>
          <w:lang w:val="ru-RU"/>
        </w:rPr>
        <w:t>”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замінити</w:t>
      </w:r>
      <w:proofErr w:type="spellEnd"/>
      <w:r>
        <w:rPr>
          <w:lang w:val="ru-RU"/>
        </w:rPr>
        <w:t xml:space="preserve"> словами </w:t>
      </w:r>
      <w:r w:rsidRPr="00CA0DE4">
        <w:rPr>
          <w:lang w:val="ru-RU"/>
        </w:rPr>
        <w:t>“</w:t>
      </w:r>
      <w:r>
        <w:rPr>
          <w:lang w:val="ru-RU"/>
        </w:rPr>
        <w:t>Банк-гарант</w:t>
      </w:r>
      <w:r w:rsidRPr="00CA0DE4">
        <w:rPr>
          <w:lang w:val="ru-RU"/>
        </w:rPr>
        <w:t>”</w:t>
      </w:r>
      <w:r>
        <w:rPr>
          <w:lang w:val="ru-RU"/>
        </w:rPr>
        <w:t>;</w:t>
      </w:r>
    </w:p>
    <w:p w14:paraId="2B853581" w14:textId="078398DB" w:rsidR="00564DFB" w:rsidRDefault="00564DFB" w:rsidP="00CA0DE4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у колонці 3:</w:t>
      </w:r>
    </w:p>
    <w:p w14:paraId="31B8A360" w14:textId="54D6A378" w:rsidR="00564DFB" w:rsidRDefault="00564DFB" w:rsidP="00CA0DE4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рядки 4, 6 викласти в такій редакції:</w:t>
      </w:r>
    </w:p>
    <w:p w14:paraId="0D66DEE1" w14:textId="171AD048" w:rsidR="002A552D" w:rsidRDefault="00564DFB" w:rsidP="00423297">
      <w:pPr>
        <w:ind w:firstLine="567"/>
        <w:contextualSpacing/>
      </w:pPr>
      <w:r w:rsidRPr="00CA0DE4">
        <w:rPr>
          <w:rFonts w:eastAsiaTheme="minorEastAsia"/>
          <w:noProof/>
          <w:color w:val="000000" w:themeColor="text1"/>
          <w:lang w:val="ru-RU" w:eastAsia="en-US"/>
        </w:rPr>
        <w:t>“</w:t>
      </w:r>
      <w:r w:rsidR="002A552D" w:rsidRPr="00705F12">
        <w:t xml:space="preserve">Повне найменування </w:t>
      </w:r>
      <w:r w:rsidR="00DA2377">
        <w:t>Б</w:t>
      </w:r>
      <w:r w:rsidR="002A552D" w:rsidRPr="00705F12">
        <w:t>анк</w:t>
      </w:r>
      <w:r w:rsidR="002A552D">
        <w:t>у</w:t>
      </w:r>
      <w:r w:rsidR="002A552D" w:rsidRPr="00705F12">
        <w:t>-</w:t>
      </w:r>
      <w:r w:rsidR="002A552D">
        <w:t>г</w:t>
      </w:r>
      <w:r w:rsidR="002A552D" w:rsidRPr="00705F12">
        <w:t xml:space="preserve">аранта: </w:t>
      </w:r>
    </w:p>
    <w:p w14:paraId="3E81102A" w14:textId="69A67D2D" w:rsidR="002A552D" w:rsidRPr="0005483C" w:rsidRDefault="002A552D" w:rsidP="00423297">
      <w:pPr>
        <w:ind w:firstLine="567"/>
        <w:contextualSpacing/>
      </w:pPr>
      <w:r>
        <w:t>К</w:t>
      </w:r>
      <w:r w:rsidRPr="00705F12">
        <w:t>од згідно з Єдиним державним реєстром підприємств та організацій України</w:t>
      </w:r>
      <w:r w:rsidRPr="00705F12">
        <w:rPr>
          <w:color w:val="202124"/>
          <w:shd w:val="clear" w:color="auto" w:fill="FFFFFF"/>
        </w:rPr>
        <w:t xml:space="preserve"> (</w:t>
      </w:r>
      <w:r w:rsidR="00117202">
        <w:rPr>
          <w:color w:val="202124"/>
          <w:shd w:val="clear" w:color="auto" w:fill="FFFFFF"/>
        </w:rPr>
        <w:t xml:space="preserve">далі - </w:t>
      </w:r>
      <w:r w:rsidRPr="00705F12">
        <w:t>ЄДРПОУ):</w:t>
      </w:r>
    </w:p>
    <w:p w14:paraId="7855FE76" w14:textId="77777777" w:rsidR="002A552D" w:rsidRDefault="002A552D" w:rsidP="00423297">
      <w:pPr>
        <w:ind w:firstLine="567"/>
        <w:contextualSpacing/>
      </w:pPr>
      <w:r>
        <w:t>К</w:t>
      </w:r>
      <w:r w:rsidRPr="00705F12">
        <w:t xml:space="preserve">од банку: </w:t>
      </w:r>
    </w:p>
    <w:p w14:paraId="0165505C" w14:textId="160FE197" w:rsidR="002A552D" w:rsidRPr="00423297" w:rsidRDefault="002A552D" w:rsidP="00423297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705F12">
        <w:t>Адреса місцезнаходження:</w:t>
      </w:r>
    </w:p>
    <w:p w14:paraId="56C8EE1C" w14:textId="10DFAE52" w:rsidR="00423297" w:rsidRDefault="00423297" w:rsidP="00CA0DE4">
      <w:pPr>
        <w:ind w:firstLine="567"/>
      </w:pPr>
      <w:r w:rsidRPr="004124A2">
        <w:t>SW</w:t>
      </w:r>
      <w:r w:rsidR="00A1392C">
        <w:rPr>
          <w:lang w:val="en-US"/>
        </w:rPr>
        <w:t>I</w:t>
      </w:r>
      <w:r w:rsidRPr="004124A2">
        <w:t xml:space="preserve">FT-адреса </w:t>
      </w:r>
      <w:r w:rsidR="00DA2377">
        <w:t>Б</w:t>
      </w:r>
      <w:r w:rsidRPr="004124A2">
        <w:t>анку-гаранта:</w:t>
      </w:r>
    </w:p>
    <w:p w14:paraId="51A4BE94" w14:textId="17FA5DA6" w:rsidR="00423297" w:rsidRDefault="00423297" w:rsidP="00CA0DE4">
      <w:pPr>
        <w:ind w:firstLine="567"/>
      </w:pPr>
      <w:r w:rsidRPr="004124A2">
        <w:t xml:space="preserve">SWIFT-код/(BIC) або інший ідентифікатор </w:t>
      </w:r>
      <w:r w:rsidR="00DA2377">
        <w:t>Б</w:t>
      </w:r>
      <w:r w:rsidRPr="004124A2">
        <w:t>анку-гаранта</w:t>
      </w:r>
      <w:r>
        <w:t>;</w:t>
      </w:r>
    </w:p>
    <w:p w14:paraId="782598E7" w14:textId="6A84ADBF" w:rsidR="00D6582D" w:rsidRDefault="00423297" w:rsidP="00F95FA0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 w:rsidRPr="004124A2">
        <w:t>Адреса електронної пошти</w:t>
      </w:r>
      <w:r>
        <w:t>:</w:t>
      </w:r>
      <w:r w:rsidR="00564DFB" w:rsidRPr="00CA0DE4">
        <w:rPr>
          <w:rFonts w:eastAsiaTheme="minorEastAsia"/>
          <w:noProof/>
          <w:color w:val="000000" w:themeColor="text1"/>
          <w:lang w:val="ru-RU" w:eastAsia="en-US"/>
        </w:rPr>
        <w:t>”</w:t>
      </w:r>
      <w:r w:rsidR="00564DFB">
        <w:rPr>
          <w:rFonts w:eastAsiaTheme="minorEastAsia"/>
          <w:noProof/>
          <w:color w:val="000000" w:themeColor="text1"/>
          <w:lang w:val="ru-RU" w:eastAsia="en-US"/>
        </w:rPr>
        <w:t>;</w:t>
      </w:r>
    </w:p>
    <w:p w14:paraId="345FC6B1" w14:textId="6AA4F872" w:rsidR="00423297" w:rsidRPr="00423297" w:rsidRDefault="00564DFB" w:rsidP="00423297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 w:rsidRPr="00CA0DE4">
        <w:rPr>
          <w:rFonts w:eastAsiaTheme="minorEastAsia"/>
          <w:noProof/>
          <w:color w:val="000000" w:themeColor="text1"/>
          <w:lang w:val="ru-RU" w:eastAsia="en-US"/>
        </w:rPr>
        <w:t>“</w:t>
      </w:r>
      <w:r w:rsidR="00423297" w:rsidRPr="00705F12">
        <w:t xml:space="preserve">Повне найменування </w:t>
      </w:r>
      <w:proofErr w:type="spellStart"/>
      <w:r w:rsidR="00423297" w:rsidRPr="00705F12">
        <w:t>Бенефіціара</w:t>
      </w:r>
      <w:proofErr w:type="spellEnd"/>
      <w:r w:rsidR="00423297" w:rsidRPr="00705F12">
        <w:t xml:space="preserve">: </w:t>
      </w:r>
    </w:p>
    <w:p w14:paraId="59564659" w14:textId="77777777" w:rsidR="00423297" w:rsidRPr="0005483C" w:rsidRDefault="00423297" w:rsidP="00423297">
      <w:pPr>
        <w:ind w:firstLine="567"/>
        <w:contextualSpacing/>
      </w:pPr>
      <w:r>
        <w:t>К</w:t>
      </w:r>
      <w:r w:rsidRPr="00705F12">
        <w:t xml:space="preserve">од згідно з ЄДРПОУ: </w:t>
      </w:r>
    </w:p>
    <w:p w14:paraId="07F0C7B5" w14:textId="3AD8836D" w:rsidR="00423297" w:rsidRDefault="00423297" w:rsidP="00423297">
      <w:pPr>
        <w:ind w:firstLine="567"/>
      </w:pPr>
      <w:r w:rsidRPr="00705F12">
        <w:t>Адреса місцезнаходження:</w:t>
      </w:r>
    </w:p>
    <w:p w14:paraId="38156B4B" w14:textId="6DA66958" w:rsidR="00D6582D" w:rsidRDefault="00423297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 w:rsidRPr="004124A2">
        <w:t>Адреса електронної пошти:</w:t>
      </w:r>
      <w:r w:rsidR="00564DFB" w:rsidRPr="00CA0DE4">
        <w:rPr>
          <w:rFonts w:eastAsiaTheme="minorEastAsia"/>
          <w:noProof/>
          <w:color w:val="000000" w:themeColor="text1"/>
          <w:lang w:val="ru-RU" w:eastAsia="en-US"/>
        </w:rPr>
        <w:t>”</w:t>
      </w:r>
      <w:r w:rsidR="00564DFB">
        <w:rPr>
          <w:rFonts w:eastAsiaTheme="minorEastAsia"/>
          <w:noProof/>
          <w:color w:val="000000" w:themeColor="text1"/>
          <w:lang w:val="ru-RU" w:eastAsia="en-US"/>
        </w:rPr>
        <w:t>;</w:t>
      </w:r>
    </w:p>
    <w:p w14:paraId="0BE19130" w14:textId="24243A20" w:rsidR="00D6582D" w:rsidRPr="00CA0DE4" w:rsidRDefault="00564DFB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 xml:space="preserve">рядка 11 слова та цифри </w:t>
      </w:r>
      <w:r w:rsidRPr="00CA0DE4">
        <w:rPr>
          <w:rFonts w:eastAsiaTheme="minorEastAsia"/>
          <w:noProof/>
          <w:color w:val="000000" w:themeColor="text1"/>
          <w:lang w:val="ru-RU" w:eastAsia="en-US"/>
        </w:rPr>
        <w:t>“</w:t>
      </w:r>
      <w:r w:rsidRPr="004124A2">
        <w:t>Порядку продажу об’єктів великої приватизації державної власності, затвердженого постановою Кабінету Міністрів України від 10 травня 2018 року № 386</w:t>
      </w:r>
      <w:r w:rsidRPr="00EC474F">
        <w:t>” замінити словами</w:t>
      </w:r>
      <w:r>
        <w:t xml:space="preserve"> та цифрами </w:t>
      </w:r>
      <w:r w:rsidRPr="00EC474F">
        <w:t xml:space="preserve"> “Порядку проведення електронних аукціонів для продажу об’єктів великої приватизації, </w:t>
      </w:r>
      <w:r w:rsidRPr="00EC474F">
        <w:lastRenderedPageBreak/>
        <w:t>затвердженого постановою Кабінету Міністрів України від 21 лютого 2023</w:t>
      </w:r>
      <w:r w:rsidR="00644ABA">
        <w:t xml:space="preserve"> року</w:t>
      </w:r>
      <w:r w:rsidRPr="00EC474F">
        <w:t xml:space="preserve"> № 183 (із змінами</w:t>
      </w:r>
      <w:r>
        <w:t>)</w:t>
      </w:r>
      <w:r w:rsidRPr="00EC474F">
        <w:t>”</w:t>
      </w:r>
      <w:r>
        <w:t>;</w:t>
      </w:r>
    </w:p>
    <w:p w14:paraId="6FAEB815" w14:textId="1CD6997F" w:rsidR="00D6582D" w:rsidRDefault="00564D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2 </w:t>
      </w:r>
      <w:r>
        <w:rPr>
          <w:color w:val="333333"/>
          <w:sz w:val="28"/>
          <w:szCs w:val="28"/>
        </w:rPr>
        <w:t xml:space="preserve">слова та цифри </w:t>
      </w:r>
      <w:r w:rsidRPr="00C510EB">
        <w:t>“</w:t>
      </w:r>
      <w:r w:rsidRPr="00C510EB">
        <w:rPr>
          <w:sz w:val="28"/>
          <w:szCs w:val="28"/>
        </w:rPr>
        <w:t>Положенням про порядок здійснення банками операцій за гарантіями в національній та іноземних валютах, затвердженим постановою Правління Національного банку Україн</w:t>
      </w:r>
      <w:r>
        <w:rPr>
          <w:sz w:val="28"/>
          <w:szCs w:val="28"/>
        </w:rPr>
        <w:t>и від 15 грудня 2004 року № 639</w:t>
      </w:r>
      <w:r w:rsidRPr="00C510EB">
        <w:rPr>
          <w:sz w:val="28"/>
          <w:szCs w:val="28"/>
        </w:rPr>
        <w:t>, зареєстрованим у Міністерстві юстиції України 13 січня 2005 року за №</w:t>
      </w:r>
      <w:r>
        <w:rPr>
          <w:sz w:val="28"/>
          <w:szCs w:val="28"/>
        </w:rPr>
        <w:t> </w:t>
      </w:r>
      <w:r w:rsidRPr="00C510EB">
        <w:rPr>
          <w:sz w:val="28"/>
          <w:szCs w:val="28"/>
        </w:rPr>
        <w:t>41/10321 (у редакції постанови Правління Національного банку України від 25 січня 2018 року № 5) (зі змінами)</w:t>
      </w:r>
      <w:r w:rsidRPr="00EC474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EC474F">
        <w:rPr>
          <w:sz w:val="28"/>
          <w:szCs w:val="28"/>
        </w:rPr>
        <w:t>замінити словами</w:t>
      </w:r>
      <w:r>
        <w:rPr>
          <w:sz w:val="28"/>
          <w:szCs w:val="28"/>
        </w:rPr>
        <w:t xml:space="preserve"> та цифрами </w:t>
      </w:r>
      <w:r w:rsidRPr="00EC474F">
        <w:rPr>
          <w:sz w:val="28"/>
          <w:szCs w:val="28"/>
        </w:rPr>
        <w:t xml:space="preserve"> “</w:t>
      </w:r>
      <w:r w:rsidRPr="00C510EB">
        <w:rPr>
          <w:sz w:val="28"/>
          <w:szCs w:val="28"/>
        </w:rPr>
        <w:t>Положенням про порядок здійснення банками та фінансовими компаніями операцій за гарантіями в національній та іноземних валютах, затвердженим постановою Правління Національного банку України від 15 грудня 2004 року №</w:t>
      </w:r>
      <w:r>
        <w:rPr>
          <w:sz w:val="28"/>
          <w:szCs w:val="28"/>
        </w:rPr>
        <w:t> </w:t>
      </w:r>
      <w:r w:rsidRPr="00C510EB">
        <w:rPr>
          <w:sz w:val="28"/>
          <w:szCs w:val="28"/>
        </w:rPr>
        <w:t>639, зареєстрованим у Міністерстві юстиції України 13 січня 2005 року за №</w:t>
      </w:r>
      <w:r>
        <w:rPr>
          <w:sz w:val="28"/>
          <w:szCs w:val="28"/>
        </w:rPr>
        <w:t> </w:t>
      </w:r>
      <w:r w:rsidRPr="00C510EB">
        <w:rPr>
          <w:sz w:val="28"/>
          <w:szCs w:val="28"/>
        </w:rPr>
        <w:t>41/10321 (у редакції постанови Правління Національного банку України від 13 вересня 2024 року № 114)”</w:t>
      </w:r>
      <w:r>
        <w:rPr>
          <w:sz w:val="28"/>
          <w:szCs w:val="28"/>
        </w:rPr>
        <w:t>;</w:t>
      </w:r>
    </w:p>
    <w:p w14:paraId="7BF60C6E" w14:textId="0ECD42C2" w:rsidR="00564DFB" w:rsidRDefault="00564DFB" w:rsidP="00233A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3: </w:t>
      </w:r>
    </w:p>
    <w:p w14:paraId="7386CF4F" w14:textId="04B856AF" w:rsidR="00564DFB" w:rsidRDefault="00564DFB" w:rsidP="00233A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абзаці першому слова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Гарант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,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Гарантом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словами </w:t>
      </w:r>
    </w:p>
    <w:p w14:paraId="72950187" w14:textId="7192E7F3" w:rsidR="006769C2" w:rsidRDefault="006769C2" w:rsidP="00103D8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 w:rsidR="00423297">
        <w:rPr>
          <w:sz w:val="28"/>
          <w:szCs w:val="28"/>
          <w:lang w:val="ru-RU"/>
        </w:rPr>
        <w:t>анк-гарант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, </w:t>
      </w:r>
      <w:r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 w:rsidR="00423297">
        <w:rPr>
          <w:sz w:val="28"/>
          <w:szCs w:val="28"/>
          <w:lang w:val="ru-RU"/>
        </w:rPr>
        <w:t>анком-гарантом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;</w:t>
      </w:r>
    </w:p>
    <w:p w14:paraId="680FE95C" w14:textId="2BD9436C" w:rsidR="00F95FA0" w:rsidRDefault="006769C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абзаці</w:t>
      </w:r>
      <w:proofErr w:type="spellEnd"/>
      <w:r>
        <w:rPr>
          <w:sz w:val="28"/>
          <w:szCs w:val="28"/>
          <w:lang w:val="ru-RU"/>
        </w:rPr>
        <w:t xml:space="preserve"> другому, </w:t>
      </w:r>
      <w:proofErr w:type="spellStart"/>
      <w:r>
        <w:rPr>
          <w:sz w:val="28"/>
          <w:szCs w:val="28"/>
          <w:lang w:val="ru-RU"/>
        </w:rPr>
        <w:t>третьому</w:t>
      </w:r>
      <w:proofErr w:type="spellEnd"/>
      <w:r>
        <w:rPr>
          <w:sz w:val="28"/>
          <w:szCs w:val="28"/>
          <w:lang w:val="ru-RU"/>
        </w:rPr>
        <w:t xml:space="preserve"> слово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Гаранта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слов</w:t>
      </w:r>
      <w:r w:rsidR="00A37ABF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</w:t>
      </w:r>
      <w:r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 w:rsidR="00423297">
        <w:rPr>
          <w:sz w:val="28"/>
          <w:szCs w:val="28"/>
          <w:lang w:val="ru-RU"/>
        </w:rPr>
        <w:t>анк</w:t>
      </w:r>
      <w:r w:rsidR="00D6582D">
        <w:rPr>
          <w:sz w:val="28"/>
          <w:szCs w:val="28"/>
          <w:lang w:val="ru-RU"/>
        </w:rPr>
        <w:t>у</w:t>
      </w:r>
      <w:r w:rsidR="00423297">
        <w:rPr>
          <w:sz w:val="28"/>
          <w:szCs w:val="28"/>
          <w:lang w:val="ru-RU"/>
        </w:rPr>
        <w:t>-гаранта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;</w:t>
      </w:r>
    </w:p>
    <w:p w14:paraId="2113A8A3" w14:textId="1515898B" w:rsidR="00D651AC" w:rsidRDefault="00F95FA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підпункті</w:t>
      </w:r>
      <w:proofErr w:type="spellEnd"/>
      <w:r>
        <w:rPr>
          <w:sz w:val="28"/>
          <w:szCs w:val="28"/>
          <w:lang w:val="ru-RU"/>
        </w:rPr>
        <w:t xml:space="preserve"> 2 пункту 4 слов</w:t>
      </w:r>
      <w:r w:rsidR="000819C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Гарантом</w:t>
      </w:r>
      <w:r w:rsidRPr="00CA0DE4">
        <w:rPr>
          <w:sz w:val="28"/>
          <w:szCs w:val="28"/>
          <w:lang w:val="ru-RU"/>
        </w:rPr>
        <w:t>”</w:t>
      </w:r>
      <w:r w:rsidR="000819C5" w:rsidRPr="000819C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0819C5" w:rsidRPr="00CA0DE4">
        <w:rPr>
          <w:sz w:val="28"/>
          <w:szCs w:val="28"/>
          <w:lang w:val="ru-RU"/>
        </w:rPr>
        <w:t>“</w:t>
      </w:r>
      <w:r w:rsidR="000819C5">
        <w:rPr>
          <w:sz w:val="28"/>
          <w:szCs w:val="28"/>
          <w:lang w:val="ru-RU"/>
        </w:rPr>
        <w:t>Гаранта</w:t>
      </w:r>
      <w:r w:rsidR="000819C5" w:rsidRPr="00CA0DE4">
        <w:rPr>
          <w:sz w:val="28"/>
          <w:szCs w:val="28"/>
          <w:lang w:val="ru-RU"/>
        </w:rPr>
        <w:t>”</w:t>
      </w:r>
      <w:r w:rsidR="000819C5" w:rsidRPr="00D651A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112C9E">
        <w:rPr>
          <w:sz w:val="28"/>
          <w:szCs w:val="28"/>
          <w:lang w:val="ru-RU"/>
        </w:rPr>
        <w:t>відповідно</w:t>
      </w:r>
      <w:proofErr w:type="spellEnd"/>
      <w:r w:rsidR="00112C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словами </w:t>
      </w:r>
      <w:r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анком-гарантом</w:t>
      </w:r>
      <w:r w:rsidRPr="00CA0DE4">
        <w:rPr>
          <w:sz w:val="28"/>
          <w:szCs w:val="28"/>
          <w:lang w:val="ru-RU"/>
        </w:rPr>
        <w:t>”</w:t>
      </w:r>
      <w:r w:rsidR="00D651AC" w:rsidRPr="00D651AC">
        <w:rPr>
          <w:sz w:val="28"/>
          <w:szCs w:val="28"/>
          <w:lang w:val="ru-RU"/>
        </w:rPr>
        <w:t>,</w:t>
      </w:r>
      <w:r w:rsidR="00112C9E">
        <w:rPr>
          <w:sz w:val="28"/>
          <w:szCs w:val="28"/>
          <w:lang w:val="ru-RU"/>
        </w:rPr>
        <w:t xml:space="preserve"> </w:t>
      </w:r>
      <w:r w:rsidR="00D651AC"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 w:rsidR="00D651AC">
        <w:rPr>
          <w:sz w:val="28"/>
          <w:szCs w:val="28"/>
          <w:lang w:val="ru-RU"/>
        </w:rPr>
        <w:t>анку-гаранта</w:t>
      </w:r>
      <w:r w:rsidR="00D651AC" w:rsidRPr="00CA0DE4">
        <w:rPr>
          <w:sz w:val="28"/>
          <w:szCs w:val="28"/>
          <w:lang w:val="ru-RU"/>
        </w:rPr>
        <w:t>”</w:t>
      </w:r>
      <w:r w:rsidR="00D651AC">
        <w:rPr>
          <w:sz w:val="28"/>
          <w:szCs w:val="28"/>
          <w:lang w:val="ru-RU"/>
        </w:rPr>
        <w:t>;</w:t>
      </w:r>
    </w:p>
    <w:p w14:paraId="567504A1" w14:textId="764A51EA" w:rsidR="00A1392C" w:rsidRDefault="00D651AC" w:rsidP="00A139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 пункті 8 слово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Гаранта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словами </w:t>
      </w:r>
      <w:r w:rsidRPr="00CA0DE4">
        <w:rPr>
          <w:sz w:val="28"/>
          <w:szCs w:val="28"/>
          <w:lang w:val="ru-RU"/>
        </w:rPr>
        <w:t>“</w:t>
      </w:r>
      <w:r w:rsidR="00DA2377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анку-гаранта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;</w:t>
      </w:r>
    </w:p>
    <w:p w14:paraId="498FF393" w14:textId="31D6FB26" w:rsidR="00A1392C" w:rsidRPr="00A1392C" w:rsidRDefault="00A1392C" w:rsidP="00A1392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 абзаці вісімнадцятому слова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Банк-Гарант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замінити</w:t>
      </w:r>
      <w:proofErr w:type="spellEnd"/>
      <w:r>
        <w:rPr>
          <w:sz w:val="28"/>
          <w:szCs w:val="28"/>
          <w:lang w:val="ru-RU"/>
        </w:rPr>
        <w:t xml:space="preserve"> словами </w:t>
      </w:r>
      <w:r w:rsidRPr="00CA0DE4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Банк-гарант</w:t>
      </w:r>
      <w:r w:rsidRPr="00CA0DE4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;</w:t>
      </w:r>
    </w:p>
    <w:p w14:paraId="36DA40D8" w14:textId="6DF6723C" w:rsidR="00564DFB" w:rsidRPr="00D651AC" w:rsidRDefault="00564DFB" w:rsidP="00F95FA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6B203187" w14:textId="77777777" w:rsidR="00564DFB" w:rsidRPr="00564DFB" w:rsidRDefault="00564DFB" w:rsidP="00CA0D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564DFB">
        <w:rPr>
          <w:sz w:val="28"/>
          <w:szCs w:val="28"/>
        </w:rPr>
        <w:t xml:space="preserve">2) у </w:t>
      </w:r>
      <w:hyperlink r:id="rId14" w:anchor="n767" w:tgtFrame="_blank" w:history="1">
        <w:r w:rsidRPr="00564DFB">
          <w:rPr>
            <w:color w:val="333333"/>
            <w:sz w:val="28"/>
            <w:szCs w:val="28"/>
          </w:rPr>
          <w:t>додатку 2</w:t>
        </w:r>
      </w:hyperlink>
      <w:r w:rsidRPr="00564DFB">
        <w:rPr>
          <w:color w:val="333333"/>
          <w:sz w:val="28"/>
          <w:szCs w:val="28"/>
        </w:rPr>
        <w:t>:</w:t>
      </w:r>
    </w:p>
    <w:p w14:paraId="6DCEE5B7" w14:textId="06835420" w:rsidR="00D6582D" w:rsidRDefault="00564DFB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564DFB">
        <w:rPr>
          <w:color w:val="333333"/>
          <w:sz w:val="28"/>
          <w:szCs w:val="28"/>
        </w:rPr>
        <w:t xml:space="preserve">у пункті 1 слова та цифри </w:t>
      </w:r>
      <w:r w:rsidRPr="00564DFB">
        <w:rPr>
          <w:sz w:val="28"/>
          <w:szCs w:val="28"/>
        </w:rPr>
        <w:t>“Положення про порядок здійснення банками операцій за гарантіями в національній та іноземних валютах,  затвердженого постановою Правління Національного банку України від 15 грудня 2004 року № 639, зареєстрованого в Міністерстві юстиції України 13 січня 2005 року за № 41/10321 (у редакції постанови Правління Національного банку України від 25 січня 2018 року № 5) (зі змінами)” замінити словами та цифрами “Положення про порядок здійснення банками та фінансовими компаніями операцій за гарантіями в національній та іноземних валютах, затвердженого постановою Правління Національного банку України від 15 грудня 2004 року № 639, зареєстрованого в Міністерстві юстиції України 13 січня 2005 року за № 41/10321 (у редакції постанови Правління Національного банку України від 13 вересня 2024 року № 114)”;</w:t>
      </w:r>
    </w:p>
    <w:p w14:paraId="3B799529" w14:textId="61B9124C" w:rsidR="006769C2" w:rsidRDefault="006769C2" w:rsidP="00CA0DE4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6769C2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 xml:space="preserve">доповнити новим пунктом </w:t>
      </w:r>
      <w:r w:rsidR="00564DFB" w:rsidRPr="006769C2">
        <w:rPr>
          <w:sz w:val="28"/>
          <w:szCs w:val="28"/>
        </w:rPr>
        <w:t xml:space="preserve">такого змісту: </w:t>
      </w:r>
    </w:p>
    <w:p w14:paraId="78B00DD2" w14:textId="248481C8" w:rsidR="00736B93" w:rsidRDefault="00564DFB" w:rsidP="00ED52D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ED52D3">
        <w:rPr>
          <w:sz w:val="28"/>
          <w:szCs w:val="28"/>
        </w:rPr>
        <w:t>“3.</w:t>
      </w:r>
      <w:r w:rsidR="00112C9E">
        <w:rPr>
          <w:sz w:val="28"/>
          <w:szCs w:val="28"/>
        </w:rPr>
        <w:t xml:space="preserve"> </w:t>
      </w:r>
      <w:r w:rsidR="00ED52D3" w:rsidRPr="00ED52D3">
        <w:rPr>
          <w:sz w:val="28"/>
          <w:szCs w:val="28"/>
          <w:shd w:val="clear" w:color="auto" w:fill="FFFFFF"/>
        </w:rPr>
        <w:t xml:space="preserve">Відповідальність за перевірку відповідності наданої банківської гарантії формі, </w:t>
      </w:r>
      <w:r w:rsidR="00C3698C">
        <w:rPr>
          <w:sz w:val="28"/>
          <w:szCs w:val="28"/>
          <w:shd w:val="clear" w:color="auto" w:fill="FFFFFF"/>
        </w:rPr>
        <w:t xml:space="preserve">встановленій додатком 1 </w:t>
      </w:r>
      <w:r w:rsidR="000772BF">
        <w:rPr>
          <w:sz w:val="28"/>
          <w:szCs w:val="28"/>
          <w:shd w:val="clear" w:color="auto" w:fill="FFFFFF"/>
        </w:rPr>
        <w:t xml:space="preserve">до </w:t>
      </w:r>
      <w:r w:rsidR="00ED52D3" w:rsidRPr="00ED52D3">
        <w:rPr>
          <w:sz w:val="28"/>
          <w:szCs w:val="28"/>
          <w:shd w:val="clear" w:color="auto" w:fill="FFFFFF"/>
        </w:rPr>
        <w:t>цією постано</w:t>
      </w:r>
      <w:r w:rsidR="000772BF">
        <w:rPr>
          <w:sz w:val="28"/>
          <w:szCs w:val="28"/>
          <w:shd w:val="clear" w:color="auto" w:fill="FFFFFF"/>
        </w:rPr>
        <w:t>ви</w:t>
      </w:r>
      <w:r w:rsidR="000C29D9">
        <w:rPr>
          <w:sz w:val="28"/>
          <w:szCs w:val="28"/>
          <w:shd w:val="clear" w:color="auto" w:fill="FFFFFF"/>
        </w:rPr>
        <w:t>,</w:t>
      </w:r>
      <w:r w:rsidR="00ED52D3" w:rsidRPr="00ED52D3">
        <w:rPr>
          <w:sz w:val="28"/>
          <w:szCs w:val="28"/>
          <w:shd w:val="clear" w:color="auto" w:fill="FFFFFF"/>
        </w:rPr>
        <w:t xml:space="preserve"> коректності її заповнення, покладається на </w:t>
      </w:r>
      <w:r w:rsidR="00ED52D3" w:rsidRPr="00ED52D3">
        <w:rPr>
          <w:sz w:val="28"/>
          <w:szCs w:val="28"/>
        </w:rPr>
        <w:t>оператора електронного майданчика</w:t>
      </w:r>
      <w:r w:rsidR="00ED52D3" w:rsidRPr="00ED52D3">
        <w:rPr>
          <w:sz w:val="28"/>
          <w:szCs w:val="28"/>
          <w:shd w:val="clear" w:color="auto" w:fill="FFFFFF"/>
        </w:rPr>
        <w:t xml:space="preserve">, який прийняв оригінал </w:t>
      </w:r>
      <w:r w:rsidR="00ED52D3" w:rsidRPr="00ED52D3">
        <w:rPr>
          <w:sz w:val="28"/>
          <w:szCs w:val="28"/>
          <w:shd w:val="clear" w:color="auto" w:fill="FFFFFF"/>
        </w:rPr>
        <w:lastRenderedPageBreak/>
        <w:t>банківської гарантії та проінформував особу, яка має намір взяти участь в електронному аукціоні про підтвердження отримання  оригіналу банківської гарантії.</w:t>
      </w:r>
      <w:r w:rsidR="00ED52D3" w:rsidRPr="00ED52D3">
        <w:rPr>
          <w:sz w:val="28"/>
          <w:szCs w:val="28"/>
          <w:lang w:eastAsia="en-US"/>
        </w:rPr>
        <w:t>”.</w:t>
      </w:r>
    </w:p>
    <w:p w14:paraId="6944D586" w14:textId="77777777" w:rsidR="00ED52D3" w:rsidRPr="00ED52D3" w:rsidRDefault="00ED52D3" w:rsidP="00ED52D3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575D85E5" w14:textId="0A73A78F" w:rsidR="00736B93" w:rsidRPr="00093363" w:rsidRDefault="00EC7B9B" w:rsidP="00736B93">
      <w:pPr>
        <w:tabs>
          <w:tab w:val="left" w:pos="0"/>
          <w:tab w:val="left" w:pos="709"/>
          <w:tab w:val="left" w:pos="993"/>
        </w:tabs>
        <w:ind w:firstLine="567"/>
      </w:pPr>
      <w:r>
        <w:t>2</w:t>
      </w:r>
      <w:r w:rsidR="00736B93" w:rsidRPr="00093363">
        <w:t xml:space="preserve">. Департаменту платіжних систем та інноваційного розвитку (Андрій </w:t>
      </w:r>
      <w:proofErr w:type="spellStart"/>
      <w:r w:rsidR="00736B93" w:rsidRPr="00093363">
        <w:t>Поддєрьогін</w:t>
      </w:r>
      <w:proofErr w:type="spellEnd"/>
      <w:r w:rsidR="00736B93" w:rsidRPr="00093363">
        <w:t xml:space="preserve">) після офіційного опублікування довести до відома </w:t>
      </w:r>
      <w:r w:rsidR="00736B93">
        <w:t xml:space="preserve">банків України </w:t>
      </w:r>
      <w:r w:rsidR="00736B93" w:rsidRPr="00093363">
        <w:t xml:space="preserve">інформацію про прийняття цієї постанови. </w:t>
      </w:r>
    </w:p>
    <w:p w14:paraId="39E6822D" w14:textId="77777777" w:rsidR="00736B93" w:rsidRDefault="00736B93" w:rsidP="00736B93">
      <w:pPr>
        <w:tabs>
          <w:tab w:val="left" w:pos="0"/>
          <w:tab w:val="left" w:pos="709"/>
          <w:tab w:val="left" w:pos="993"/>
        </w:tabs>
        <w:ind w:firstLine="567"/>
      </w:pPr>
    </w:p>
    <w:p w14:paraId="5B1CC5F9" w14:textId="11EFD186" w:rsidR="00736B93" w:rsidRPr="00964AB4" w:rsidRDefault="00EC7B9B" w:rsidP="00736B93">
      <w:pPr>
        <w:tabs>
          <w:tab w:val="left" w:pos="0"/>
          <w:tab w:val="left" w:pos="709"/>
          <w:tab w:val="left" w:pos="993"/>
        </w:tabs>
        <w:ind w:firstLine="567"/>
      </w:pPr>
      <w:r>
        <w:t>3</w:t>
      </w:r>
      <w:r w:rsidR="00736B93" w:rsidRPr="00964AB4">
        <w:t xml:space="preserve">. Контроль за виконанням цієї постанови покласти на заступника Голови Національного банку України Олексія </w:t>
      </w:r>
      <w:proofErr w:type="spellStart"/>
      <w:r w:rsidR="00736B93" w:rsidRPr="00964AB4">
        <w:t>Шабана</w:t>
      </w:r>
      <w:proofErr w:type="spellEnd"/>
      <w:r w:rsidR="00736B93" w:rsidRPr="00964AB4">
        <w:t xml:space="preserve">. </w:t>
      </w:r>
    </w:p>
    <w:p w14:paraId="79E3C230" w14:textId="77777777" w:rsidR="00736B93" w:rsidRPr="00964AB4" w:rsidRDefault="00736B93" w:rsidP="00736B93">
      <w:pPr>
        <w:tabs>
          <w:tab w:val="left" w:pos="0"/>
          <w:tab w:val="left" w:pos="709"/>
        </w:tabs>
        <w:ind w:firstLine="567"/>
        <w:rPr>
          <w:rFonts w:eastAsiaTheme="minorEastAsia"/>
          <w:noProof/>
        </w:rPr>
      </w:pPr>
    </w:p>
    <w:p w14:paraId="319D9862" w14:textId="3845BA7A" w:rsidR="00736B93" w:rsidRPr="00964AB4" w:rsidRDefault="00EC7B9B" w:rsidP="00736B93">
      <w:pPr>
        <w:tabs>
          <w:tab w:val="left" w:pos="0"/>
          <w:tab w:val="left" w:pos="709"/>
        </w:tabs>
        <w:ind w:firstLine="567"/>
      </w:pPr>
      <w:r>
        <w:rPr>
          <w:rFonts w:eastAsiaTheme="minorEastAsia"/>
          <w:noProof/>
        </w:rPr>
        <w:t>4</w:t>
      </w:r>
      <w:r w:rsidR="00736B93" w:rsidRPr="00964AB4">
        <w:rPr>
          <w:rFonts w:eastAsiaTheme="minorEastAsia"/>
          <w:noProof/>
        </w:rPr>
        <w:t xml:space="preserve">. </w:t>
      </w:r>
      <w:r w:rsidR="00736B93" w:rsidRPr="00964AB4">
        <w:t>Постанова набирає чинності з дня</w:t>
      </w:r>
      <w:r w:rsidR="00736B93" w:rsidRPr="004A4952">
        <w:t>,</w:t>
      </w:r>
      <w:r w:rsidR="00736B93">
        <w:t xml:space="preserve"> наступного за днем її офіційного опублікування</w:t>
      </w:r>
      <w:r w:rsidR="00736B93" w:rsidRPr="00964AB4">
        <w:t xml:space="preserve">. </w:t>
      </w:r>
    </w:p>
    <w:p w14:paraId="05EBC5A4" w14:textId="77777777" w:rsidR="00736B93" w:rsidRDefault="00736B93" w:rsidP="00736B93">
      <w:pPr>
        <w:tabs>
          <w:tab w:val="left" w:pos="0"/>
          <w:tab w:val="left" w:pos="709"/>
        </w:tabs>
        <w:spacing w:line="264" w:lineRule="auto"/>
        <w:ind w:firstLine="567"/>
        <w:rPr>
          <w:rFonts w:eastAsiaTheme="minorEastAsia"/>
          <w:noProof/>
          <w:lang w:eastAsia="en-US"/>
        </w:rPr>
      </w:pPr>
    </w:p>
    <w:p w14:paraId="5C5581B3" w14:textId="77777777" w:rsidR="00736B93" w:rsidRPr="00CD0CD4" w:rsidRDefault="00736B93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C9767D" w14:paraId="5C9A8A47" w14:textId="77777777" w:rsidTr="000F60CD">
        <w:tc>
          <w:tcPr>
            <w:tcW w:w="5387" w:type="dxa"/>
            <w:vAlign w:val="bottom"/>
          </w:tcPr>
          <w:p w14:paraId="0A246A5E" w14:textId="77777777" w:rsidR="00410EC0" w:rsidRPr="00CD0CD4" w:rsidRDefault="00AA0922" w:rsidP="00AA0922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32114BED" w14:textId="77777777" w:rsidR="00410EC0" w:rsidRPr="00CD0CD4" w:rsidRDefault="00AA0922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2FB7B510" w14:textId="77777777" w:rsidR="00410EC0" w:rsidRPr="00CD0CD4" w:rsidRDefault="00410EC0" w:rsidP="00410EC0"/>
    <w:p w14:paraId="35A9F68A" w14:textId="77777777" w:rsidR="00410EC0" w:rsidRPr="00CD0CD4" w:rsidRDefault="00410EC0" w:rsidP="00410EC0"/>
    <w:p w14:paraId="134183C2" w14:textId="1E4AAA67" w:rsidR="00410EC0" w:rsidRDefault="00E33D11" w:rsidP="00CA0DE4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59361D">
        <w:t>57</w:t>
      </w:r>
    </w:p>
    <w:p w14:paraId="3177FC33" w14:textId="6312EEA4" w:rsidR="00F2405B" w:rsidRDefault="00F2405B" w:rsidP="00CA0DE4">
      <w:pPr>
        <w:jc w:val="left"/>
      </w:pPr>
    </w:p>
    <w:p w14:paraId="2134C9F0" w14:textId="6FB00FF9" w:rsidR="00E97A59" w:rsidRPr="00423297" w:rsidRDefault="00E97A59" w:rsidP="00F2405B">
      <w:pPr>
        <w:jc w:val="left"/>
        <w:rPr>
          <w:lang w:val="ru-RU"/>
        </w:rPr>
      </w:pPr>
      <w:bookmarkStart w:id="1" w:name="n114"/>
      <w:bookmarkStart w:id="2" w:name="n115"/>
      <w:bookmarkStart w:id="3" w:name="n116"/>
      <w:bookmarkEnd w:id="1"/>
      <w:bookmarkEnd w:id="2"/>
      <w:bookmarkEnd w:id="3"/>
    </w:p>
    <w:sectPr w:rsidR="00E97A59" w:rsidRPr="00423297" w:rsidSect="00B930E3">
      <w:headerReference w:type="default" r:id="rId15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B8F1" w14:textId="77777777" w:rsidR="0013783D" w:rsidRDefault="0013783D">
      <w:r>
        <w:separator/>
      </w:r>
    </w:p>
  </w:endnote>
  <w:endnote w:type="continuationSeparator" w:id="0">
    <w:p w14:paraId="2065858C" w14:textId="77777777" w:rsidR="0013783D" w:rsidRDefault="0013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CC"/>
    <w:family w:val="swiss"/>
    <w:pitch w:val="variable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37A9" w14:textId="77777777" w:rsidR="0013783D" w:rsidRDefault="0013783D">
      <w:r>
        <w:separator/>
      </w:r>
    </w:p>
  </w:footnote>
  <w:footnote w:type="continuationSeparator" w:id="0">
    <w:p w14:paraId="66F747D6" w14:textId="77777777" w:rsidR="0013783D" w:rsidRDefault="0013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74578"/>
      <w:docPartObj>
        <w:docPartGallery w:val="Page Numbers (Top of Page)"/>
        <w:docPartUnique/>
      </w:docPartObj>
    </w:sdtPr>
    <w:sdtEndPr/>
    <w:sdtContent>
      <w:p w14:paraId="66806EF8" w14:textId="407083F2" w:rsidR="00F95FA0" w:rsidRDefault="00F95F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1E">
          <w:rPr>
            <w:noProof/>
          </w:rPr>
          <w:t>3</w:t>
        </w:r>
        <w:r>
          <w:fldChar w:fldCharType="end"/>
        </w:r>
      </w:p>
    </w:sdtContent>
  </w:sdt>
  <w:p w14:paraId="217AF666" w14:textId="77777777" w:rsidR="00F95FA0" w:rsidRDefault="00F95F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25F"/>
    <w:multiLevelType w:val="hybridMultilevel"/>
    <w:tmpl w:val="CB3C4610"/>
    <w:lvl w:ilvl="0" w:tplc="2C60ECD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173145"/>
    <w:multiLevelType w:val="hybridMultilevel"/>
    <w:tmpl w:val="6BEE297C"/>
    <w:lvl w:ilvl="0" w:tplc="A442E268">
      <w:start w:val="1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054A23"/>
    <w:multiLevelType w:val="hybridMultilevel"/>
    <w:tmpl w:val="AB708B20"/>
    <w:lvl w:ilvl="0" w:tplc="1D746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E222D7"/>
    <w:multiLevelType w:val="hybridMultilevel"/>
    <w:tmpl w:val="79148DDA"/>
    <w:lvl w:ilvl="0" w:tplc="1F8E131C">
      <w:start w:val="1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07204"/>
    <w:rsid w:val="00015FDE"/>
    <w:rsid w:val="00016403"/>
    <w:rsid w:val="000378F7"/>
    <w:rsid w:val="0003793C"/>
    <w:rsid w:val="000506D8"/>
    <w:rsid w:val="00063480"/>
    <w:rsid w:val="000713E8"/>
    <w:rsid w:val="000772BF"/>
    <w:rsid w:val="000819C5"/>
    <w:rsid w:val="000852CD"/>
    <w:rsid w:val="00097B89"/>
    <w:rsid w:val="000B0E13"/>
    <w:rsid w:val="000B2990"/>
    <w:rsid w:val="000B5ADB"/>
    <w:rsid w:val="000C29D9"/>
    <w:rsid w:val="000C3F58"/>
    <w:rsid w:val="000D44E2"/>
    <w:rsid w:val="000E4B44"/>
    <w:rsid w:val="000E700F"/>
    <w:rsid w:val="000F60CD"/>
    <w:rsid w:val="00100163"/>
    <w:rsid w:val="00101D5A"/>
    <w:rsid w:val="001025EF"/>
    <w:rsid w:val="00102C1C"/>
    <w:rsid w:val="00103D80"/>
    <w:rsid w:val="001068E6"/>
    <w:rsid w:val="00112C9E"/>
    <w:rsid w:val="00117202"/>
    <w:rsid w:val="0013783D"/>
    <w:rsid w:val="001652CD"/>
    <w:rsid w:val="001740C0"/>
    <w:rsid w:val="00190E1A"/>
    <w:rsid w:val="00192423"/>
    <w:rsid w:val="001A16FA"/>
    <w:rsid w:val="001A42D2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268A"/>
    <w:rsid w:val="00222C1E"/>
    <w:rsid w:val="00233146"/>
    <w:rsid w:val="00233692"/>
    <w:rsid w:val="00233AE7"/>
    <w:rsid w:val="0023651D"/>
    <w:rsid w:val="00241373"/>
    <w:rsid w:val="002453A3"/>
    <w:rsid w:val="00253BF9"/>
    <w:rsid w:val="00257FAC"/>
    <w:rsid w:val="00264983"/>
    <w:rsid w:val="00272B80"/>
    <w:rsid w:val="002846E4"/>
    <w:rsid w:val="002A172E"/>
    <w:rsid w:val="002A552D"/>
    <w:rsid w:val="002A7DE0"/>
    <w:rsid w:val="002C677D"/>
    <w:rsid w:val="002C71B7"/>
    <w:rsid w:val="002C7B4D"/>
    <w:rsid w:val="002D171B"/>
    <w:rsid w:val="002D1790"/>
    <w:rsid w:val="002D5205"/>
    <w:rsid w:val="002D52F9"/>
    <w:rsid w:val="002E023A"/>
    <w:rsid w:val="002F33F0"/>
    <w:rsid w:val="002F660B"/>
    <w:rsid w:val="002F6DA9"/>
    <w:rsid w:val="0031386A"/>
    <w:rsid w:val="0033133D"/>
    <w:rsid w:val="00347471"/>
    <w:rsid w:val="00356E34"/>
    <w:rsid w:val="00357676"/>
    <w:rsid w:val="00364833"/>
    <w:rsid w:val="003700F2"/>
    <w:rsid w:val="00371783"/>
    <w:rsid w:val="0038167B"/>
    <w:rsid w:val="0038385E"/>
    <w:rsid w:val="003A383B"/>
    <w:rsid w:val="003B4F96"/>
    <w:rsid w:val="003C3282"/>
    <w:rsid w:val="003C3985"/>
    <w:rsid w:val="003C421E"/>
    <w:rsid w:val="003C7337"/>
    <w:rsid w:val="003D19A3"/>
    <w:rsid w:val="003E67AD"/>
    <w:rsid w:val="003F4317"/>
    <w:rsid w:val="00400823"/>
    <w:rsid w:val="00401EDB"/>
    <w:rsid w:val="00404C93"/>
    <w:rsid w:val="00407877"/>
    <w:rsid w:val="00410EC0"/>
    <w:rsid w:val="00410FA1"/>
    <w:rsid w:val="004124A2"/>
    <w:rsid w:val="00423297"/>
    <w:rsid w:val="004318B3"/>
    <w:rsid w:val="004414F7"/>
    <w:rsid w:val="004556AE"/>
    <w:rsid w:val="00455B45"/>
    <w:rsid w:val="00472E7B"/>
    <w:rsid w:val="00484152"/>
    <w:rsid w:val="00494BE0"/>
    <w:rsid w:val="004A5657"/>
    <w:rsid w:val="004A7F75"/>
    <w:rsid w:val="004B4733"/>
    <w:rsid w:val="004C0257"/>
    <w:rsid w:val="004D7E2E"/>
    <w:rsid w:val="004E0515"/>
    <w:rsid w:val="004E22E2"/>
    <w:rsid w:val="004F4B6F"/>
    <w:rsid w:val="004F5AE4"/>
    <w:rsid w:val="004F62FC"/>
    <w:rsid w:val="00514C09"/>
    <w:rsid w:val="005171C5"/>
    <w:rsid w:val="00523C13"/>
    <w:rsid w:val="005257C2"/>
    <w:rsid w:val="00535AA4"/>
    <w:rsid w:val="00535D44"/>
    <w:rsid w:val="00540210"/>
    <w:rsid w:val="005409D3"/>
    <w:rsid w:val="00542533"/>
    <w:rsid w:val="005537EC"/>
    <w:rsid w:val="005624B6"/>
    <w:rsid w:val="005632A7"/>
    <w:rsid w:val="00563A19"/>
    <w:rsid w:val="00563AC1"/>
    <w:rsid w:val="00564DFB"/>
    <w:rsid w:val="00566BA2"/>
    <w:rsid w:val="0057237F"/>
    <w:rsid w:val="00577402"/>
    <w:rsid w:val="00591298"/>
    <w:rsid w:val="0059361D"/>
    <w:rsid w:val="005A0F4B"/>
    <w:rsid w:val="005A1D3C"/>
    <w:rsid w:val="005A2BBA"/>
    <w:rsid w:val="005A2F3D"/>
    <w:rsid w:val="005A3F34"/>
    <w:rsid w:val="005A6B99"/>
    <w:rsid w:val="005B2D03"/>
    <w:rsid w:val="005C5CBF"/>
    <w:rsid w:val="005D2F3D"/>
    <w:rsid w:val="005F6418"/>
    <w:rsid w:val="00600DC6"/>
    <w:rsid w:val="00610F11"/>
    <w:rsid w:val="0061599B"/>
    <w:rsid w:val="0063071E"/>
    <w:rsid w:val="0063271C"/>
    <w:rsid w:val="00640612"/>
    <w:rsid w:val="00644ABA"/>
    <w:rsid w:val="00653558"/>
    <w:rsid w:val="00655864"/>
    <w:rsid w:val="006667AF"/>
    <w:rsid w:val="00670C95"/>
    <w:rsid w:val="006769C2"/>
    <w:rsid w:val="00681460"/>
    <w:rsid w:val="00684225"/>
    <w:rsid w:val="006871CD"/>
    <w:rsid w:val="006A0AC3"/>
    <w:rsid w:val="006A0AE1"/>
    <w:rsid w:val="006A417F"/>
    <w:rsid w:val="006B2748"/>
    <w:rsid w:val="006B4D66"/>
    <w:rsid w:val="006C4176"/>
    <w:rsid w:val="006C66EF"/>
    <w:rsid w:val="006D2617"/>
    <w:rsid w:val="006E2386"/>
    <w:rsid w:val="006F3CFB"/>
    <w:rsid w:val="0070152E"/>
    <w:rsid w:val="00702896"/>
    <w:rsid w:val="00703CCF"/>
    <w:rsid w:val="0071789F"/>
    <w:rsid w:val="00736B93"/>
    <w:rsid w:val="007476B2"/>
    <w:rsid w:val="0077773E"/>
    <w:rsid w:val="007802D9"/>
    <w:rsid w:val="00783AF2"/>
    <w:rsid w:val="00783B7E"/>
    <w:rsid w:val="0079324A"/>
    <w:rsid w:val="007A038B"/>
    <w:rsid w:val="007A6609"/>
    <w:rsid w:val="007B51FC"/>
    <w:rsid w:val="007D5CEC"/>
    <w:rsid w:val="007E2E2F"/>
    <w:rsid w:val="007F24D1"/>
    <w:rsid w:val="007F514C"/>
    <w:rsid w:val="00802988"/>
    <w:rsid w:val="008135AE"/>
    <w:rsid w:val="00834346"/>
    <w:rsid w:val="00850F68"/>
    <w:rsid w:val="008555CA"/>
    <w:rsid w:val="00866993"/>
    <w:rsid w:val="00874366"/>
    <w:rsid w:val="008772B8"/>
    <w:rsid w:val="008A58E9"/>
    <w:rsid w:val="008A704D"/>
    <w:rsid w:val="008B014D"/>
    <w:rsid w:val="008B1589"/>
    <w:rsid w:val="008B164A"/>
    <w:rsid w:val="008C2498"/>
    <w:rsid w:val="008D10FD"/>
    <w:rsid w:val="008D122F"/>
    <w:rsid w:val="008E30F9"/>
    <w:rsid w:val="009000DC"/>
    <w:rsid w:val="00904F17"/>
    <w:rsid w:val="00960ADB"/>
    <w:rsid w:val="00961672"/>
    <w:rsid w:val="00961C71"/>
    <w:rsid w:val="0097288F"/>
    <w:rsid w:val="00984B02"/>
    <w:rsid w:val="009943E9"/>
    <w:rsid w:val="00994CD4"/>
    <w:rsid w:val="00995A8D"/>
    <w:rsid w:val="009A4DE6"/>
    <w:rsid w:val="009C717F"/>
    <w:rsid w:val="009D6D44"/>
    <w:rsid w:val="009F5312"/>
    <w:rsid w:val="00A06ADB"/>
    <w:rsid w:val="00A104FB"/>
    <w:rsid w:val="00A1392C"/>
    <w:rsid w:val="00A155A5"/>
    <w:rsid w:val="00A21C67"/>
    <w:rsid w:val="00A23E04"/>
    <w:rsid w:val="00A37ABF"/>
    <w:rsid w:val="00A47EF0"/>
    <w:rsid w:val="00A50DC0"/>
    <w:rsid w:val="00A51C39"/>
    <w:rsid w:val="00A53889"/>
    <w:rsid w:val="00A613F7"/>
    <w:rsid w:val="00A708BE"/>
    <w:rsid w:val="00A72446"/>
    <w:rsid w:val="00A72F06"/>
    <w:rsid w:val="00A77FFD"/>
    <w:rsid w:val="00A849A6"/>
    <w:rsid w:val="00A95D4C"/>
    <w:rsid w:val="00AA0922"/>
    <w:rsid w:val="00AA717B"/>
    <w:rsid w:val="00AA726B"/>
    <w:rsid w:val="00AB1C0F"/>
    <w:rsid w:val="00AB28F1"/>
    <w:rsid w:val="00AB3712"/>
    <w:rsid w:val="00AC47B6"/>
    <w:rsid w:val="00AE16F0"/>
    <w:rsid w:val="00AF59AC"/>
    <w:rsid w:val="00B12A6F"/>
    <w:rsid w:val="00B221AB"/>
    <w:rsid w:val="00B24F71"/>
    <w:rsid w:val="00B31892"/>
    <w:rsid w:val="00B332B2"/>
    <w:rsid w:val="00B5752E"/>
    <w:rsid w:val="00B616A5"/>
    <w:rsid w:val="00B66974"/>
    <w:rsid w:val="00B67B26"/>
    <w:rsid w:val="00B77FBC"/>
    <w:rsid w:val="00B85728"/>
    <w:rsid w:val="00B930E3"/>
    <w:rsid w:val="00BB44AB"/>
    <w:rsid w:val="00BC6419"/>
    <w:rsid w:val="00BE6C11"/>
    <w:rsid w:val="00BF052C"/>
    <w:rsid w:val="00C21D33"/>
    <w:rsid w:val="00C22D27"/>
    <w:rsid w:val="00C261F6"/>
    <w:rsid w:val="00C337FD"/>
    <w:rsid w:val="00C3698C"/>
    <w:rsid w:val="00C36ED6"/>
    <w:rsid w:val="00C41293"/>
    <w:rsid w:val="00C422E3"/>
    <w:rsid w:val="00C4377C"/>
    <w:rsid w:val="00C437A7"/>
    <w:rsid w:val="00C510EB"/>
    <w:rsid w:val="00C65DEC"/>
    <w:rsid w:val="00C763A3"/>
    <w:rsid w:val="00C80F5E"/>
    <w:rsid w:val="00C82259"/>
    <w:rsid w:val="00C831BC"/>
    <w:rsid w:val="00C8418C"/>
    <w:rsid w:val="00C93821"/>
    <w:rsid w:val="00C9767D"/>
    <w:rsid w:val="00CA0DE4"/>
    <w:rsid w:val="00CC5080"/>
    <w:rsid w:val="00CD0CD4"/>
    <w:rsid w:val="00CD7381"/>
    <w:rsid w:val="00CE3B9F"/>
    <w:rsid w:val="00D0057B"/>
    <w:rsid w:val="00D11F25"/>
    <w:rsid w:val="00D27113"/>
    <w:rsid w:val="00D33A3D"/>
    <w:rsid w:val="00D34DCC"/>
    <w:rsid w:val="00D50376"/>
    <w:rsid w:val="00D57A07"/>
    <w:rsid w:val="00D651AC"/>
    <w:rsid w:val="00D6582D"/>
    <w:rsid w:val="00D74DCE"/>
    <w:rsid w:val="00D82CC8"/>
    <w:rsid w:val="00D842D0"/>
    <w:rsid w:val="00DA2377"/>
    <w:rsid w:val="00DC1E60"/>
    <w:rsid w:val="00DD106B"/>
    <w:rsid w:val="00DD60CC"/>
    <w:rsid w:val="00DD71CB"/>
    <w:rsid w:val="00E107C3"/>
    <w:rsid w:val="00E10F0A"/>
    <w:rsid w:val="00E33B0E"/>
    <w:rsid w:val="00E33D11"/>
    <w:rsid w:val="00E34A3F"/>
    <w:rsid w:val="00E43E79"/>
    <w:rsid w:val="00E47BB4"/>
    <w:rsid w:val="00E52A5D"/>
    <w:rsid w:val="00E53CB5"/>
    <w:rsid w:val="00E53CCD"/>
    <w:rsid w:val="00E8777E"/>
    <w:rsid w:val="00E97A59"/>
    <w:rsid w:val="00EA1DE4"/>
    <w:rsid w:val="00EA3A24"/>
    <w:rsid w:val="00EA51D8"/>
    <w:rsid w:val="00EC474F"/>
    <w:rsid w:val="00EC7B9B"/>
    <w:rsid w:val="00ED042F"/>
    <w:rsid w:val="00ED343E"/>
    <w:rsid w:val="00ED52D3"/>
    <w:rsid w:val="00ED5EF3"/>
    <w:rsid w:val="00EE3E8A"/>
    <w:rsid w:val="00EE4E1E"/>
    <w:rsid w:val="00F003D3"/>
    <w:rsid w:val="00F03226"/>
    <w:rsid w:val="00F03E32"/>
    <w:rsid w:val="00F2405B"/>
    <w:rsid w:val="00F31023"/>
    <w:rsid w:val="00F332C0"/>
    <w:rsid w:val="00F42E75"/>
    <w:rsid w:val="00F52D16"/>
    <w:rsid w:val="00F63BD9"/>
    <w:rsid w:val="00F6694C"/>
    <w:rsid w:val="00F95FA0"/>
    <w:rsid w:val="00F9671E"/>
    <w:rsid w:val="00F96F18"/>
    <w:rsid w:val="00F9798E"/>
    <w:rsid w:val="00FA7B67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119DE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rvps2">
    <w:name w:val="rvps2"/>
    <w:basedOn w:val="a"/>
    <w:rsid w:val="00A5388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35D4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5D44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535D44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5D44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535D44"/>
    <w:rPr>
      <w:rFonts w:ascii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v0217500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49EA9E-C821-424A-91B8-DF8D157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Гаврилюк Олена Іванівна</cp:lastModifiedBy>
  <cp:revision>2</cp:revision>
  <cp:lastPrinted>2024-10-01T05:59:00Z</cp:lastPrinted>
  <dcterms:created xsi:type="dcterms:W3CDTF">2024-10-09T08:40:00Z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